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7" w:rsidRPr="00087817" w:rsidRDefault="00724DA6" w:rsidP="004B0569">
      <w:pPr>
        <w:spacing w:line="240" w:lineRule="auto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1B7EB08A" wp14:editId="5A1DF351">
            <wp:extent cx="6570921" cy="8250865"/>
            <wp:effectExtent l="0" t="0" r="2095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proofErr w:type="spellStart"/>
      <w:r w:rsidRPr="00087817">
        <w:rPr>
          <w:rFonts w:ascii="Times New Roman" w:hAnsi="Times New Roman" w:cs="Times New Roman"/>
          <w:sz w:val="18"/>
          <w:szCs w:val="18"/>
        </w:rPr>
        <w:t>Справочно</w:t>
      </w:r>
      <w:proofErr w:type="spellEnd"/>
      <w:r w:rsidRPr="00087817">
        <w:rPr>
          <w:rFonts w:ascii="Times New Roman" w:hAnsi="Times New Roman" w:cs="Times New Roman"/>
          <w:sz w:val="18"/>
          <w:szCs w:val="18"/>
        </w:rPr>
        <w:t xml:space="preserve">: </w:t>
      </w:r>
      <w:r w:rsidR="00087817" w:rsidRPr="00087817">
        <w:rPr>
          <w:rFonts w:ascii="Times New Roman" w:hAnsi="Times New Roman" w:cs="Times New Roman"/>
          <w:sz w:val="18"/>
          <w:szCs w:val="18"/>
        </w:rPr>
        <w:t>финансирование мероприятий в рамках четырех государственных программ Калужской области: «Профилактика правонарушений в Калужской области», «Профилактика незаконного потребления наркотических средств и психотропных веществ, наркомании в Калужской области», «Поддержка развития российского казачества на территории Калужской области», «Патриотическое воспитание населения Калужской области» - осуществлялось в рамках других государственных программ Калужской области</w:t>
      </w:r>
    </w:p>
    <w:sectPr w:rsidR="00A137F7" w:rsidRPr="00087817" w:rsidSect="00B46955">
      <w:headerReference w:type="default" r:id="rId8"/>
      <w:pgSz w:w="11906" w:h="16838"/>
      <w:pgMar w:top="774" w:right="566" w:bottom="46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29" w:rsidRDefault="006C2C29" w:rsidP="00724DA6">
      <w:pPr>
        <w:spacing w:after="0" w:line="240" w:lineRule="auto"/>
      </w:pPr>
      <w:r>
        <w:separator/>
      </w:r>
    </w:p>
  </w:endnote>
  <w:endnote w:type="continuationSeparator" w:id="0">
    <w:p w:rsidR="006C2C29" w:rsidRDefault="006C2C29" w:rsidP="0072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29" w:rsidRDefault="006C2C29" w:rsidP="00724DA6">
      <w:pPr>
        <w:spacing w:after="0" w:line="240" w:lineRule="auto"/>
      </w:pPr>
      <w:r>
        <w:separator/>
      </w:r>
    </w:p>
  </w:footnote>
  <w:footnote w:type="continuationSeparator" w:id="0">
    <w:p w:rsidR="006C2C29" w:rsidRDefault="006C2C29" w:rsidP="0072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A6" w:rsidRDefault="00724DA6" w:rsidP="00724DA6">
    <w:pPr>
      <w:pStyle w:val="a5"/>
      <w:jc w:val="right"/>
      <w:rPr>
        <w:rFonts w:ascii="Times New Roman" w:hAnsi="Times New Roman" w:cs="Times New Roman"/>
        <w:sz w:val="26"/>
        <w:szCs w:val="26"/>
      </w:rPr>
    </w:pPr>
    <w:r w:rsidRPr="00724DA6">
      <w:rPr>
        <w:rFonts w:ascii="Times New Roman" w:hAnsi="Times New Roman" w:cs="Times New Roman"/>
        <w:sz w:val="26"/>
        <w:szCs w:val="26"/>
      </w:rPr>
      <w:t>Приложение № 2</w:t>
    </w:r>
  </w:p>
  <w:p w:rsidR="00724DA6" w:rsidRDefault="00724DA6" w:rsidP="00724DA6">
    <w:pPr>
      <w:pStyle w:val="a5"/>
      <w:jc w:val="right"/>
      <w:rPr>
        <w:rFonts w:ascii="Times New Roman" w:hAnsi="Times New Roman" w:cs="Times New Roman"/>
        <w:sz w:val="26"/>
        <w:szCs w:val="26"/>
      </w:rPr>
    </w:pPr>
  </w:p>
  <w:p w:rsidR="00724DA6" w:rsidRDefault="00724DA6" w:rsidP="00724DA6">
    <w:pPr>
      <w:pStyle w:val="a5"/>
      <w:jc w:val="center"/>
      <w:rPr>
        <w:rFonts w:ascii="Times New Roman" w:hAnsi="Times New Roman" w:cs="Times New Roman"/>
        <w:b/>
        <w:sz w:val="26"/>
        <w:szCs w:val="26"/>
      </w:rPr>
    </w:pPr>
    <w:r w:rsidRPr="00724DA6">
      <w:rPr>
        <w:rFonts w:ascii="Times New Roman" w:hAnsi="Times New Roman" w:cs="Times New Roman"/>
        <w:b/>
        <w:sz w:val="26"/>
        <w:szCs w:val="26"/>
      </w:rPr>
      <w:t xml:space="preserve">Структура бюджетных ассигнований на реализацию </w:t>
    </w:r>
    <w:r>
      <w:rPr>
        <w:rFonts w:ascii="Times New Roman" w:hAnsi="Times New Roman" w:cs="Times New Roman"/>
        <w:b/>
        <w:sz w:val="26"/>
        <w:szCs w:val="26"/>
      </w:rPr>
      <w:br/>
    </w:r>
    <w:r w:rsidRPr="00724DA6">
      <w:rPr>
        <w:rFonts w:ascii="Times New Roman" w:hAnsi="Times New Roman" w:cs="Times New Roman"/>
        <w:b/>
        <w:sz w:val="26"/>
        <w:szCs w:val="26"/>
      </w:rPr>
      <w:t xml:space="preserve">государственных программ Калужской области в 2015 году </w:t>
    </w:r>
    <w:r>
      <w:rPr>
        <w:rFonts w:ascii="Times New Roman" w:hAnsi="Times New Roman" w:cs="Times New Roman"/>
        <w:b/>
        <w:sz w:val="26"/>
        <w:szCs w:val="26"/>
      </w:rPr>
      <w:br/>
    </w:r>
    <w:r w:rsidRPr="00724DA6">
      <w:rPr>
        <w:rFonts w:ascii="Times New Roman" w:hAnsi="Times New Roman" w:cs="Times New Roman"/>
        <w:b/>
        <w:sz w:val="26"/>
        <w:szCs w:val="26"/>
      </w:rPr>
      <w:t>(</w:t>
    </w:r>
    <w:proofErr w:type="gramStart"/>
    <w:r w:rsidRPr="00724DA6">
      <w:rPr>
        <w:rFonts w:ascii="Times New Roman" w:hAnsi="Times New Roman" w:cs="Times New Roman"/>
        <w:b/>
        <w:sz w:val="26"/>
        <w:szCs w:val="26"/>
      </w:rPr>
      <w:t>в</w:t>
    </w:r>
    <w:proofErr w:type="gramEnd"/>
    <w:r w:rsidRPr="00724DA6">
      <w:rPr>
        <w:rFonts w:ascii="Times New Roman" w:hAnsi="Times New Roman" w:cs="Times New Roman"/>
        <w:b/>
        <w:sz w:val="26"/>
        <w:szCs w:val="26"/>
      </w:rPr>
      <w:t xml:space="preserve"> %%)</w:t>
    </w:r>
  </w:p>
  <w:p w:rsidR="00724DA6" w:rsidRPr="00724DA6" w:rsidRDefault="00724DA6" w:rsidP="00724DA6">
    <w:pPr>
      <w:pStyle w:val="a5"/>
      <w:jc w:val="center"/>
      <w:rPr>
        <w:rFonts w:ascii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C"/>
    <w:rsid w:val="00087817"/>
    <w:rsid w:val="003718D0"/>
    <w:rsid w:val="003A4942"/>
    <w:rsid w:val="004B0569"/>
    <w:rsid w:val="006C2C29"/>
    <w:rsid w:val="00724DA6"/>
    <w:rsid w:val="00A137F7"/>
    <w:rsid w:val="00B04E53"/>
    <w:rsid w:val="00B46955"/>
    <w:rsid w:val="00BC68D5"/>
    <w:rsid w:val="00E2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DA6"/>
  </w:style>
  <w:style w:type="paragraph" w:styleId="a7">
    <w:name w:val="footer"/>
    <w:basedOn w:val="a"/>
    <w:link w:val="a8"/>
    <w:uiPriority w:val="99"/>
    <w:unhideWhenUsed/>
    <w:rsid w:val="0072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DA6"/>
  </w:style>
  <w:style w:type="paragraph" w:styleId="a7">
    <w:name w:val="footer"/>
    <w:basedOn w:val="a"/>
    <w:link w:val="a8"/>
    <w:uiPriority w:val="99"/>
    <w:unhideWhenUsed/>
    <w:rsid w:val="0072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30243812092702"/>
          <c:y val="3.051915901415117E-2"/>
          <c:w val="0.81086182591451028"/>
          <c:h val="0.36280504766043009"/>
        </c:manualLayout>
      </c:layout>
      <c:pie3DChart>
        <c:varyColors val="1"/>
        <c:ser>
          <c:idx val="0"/>
          <c:order val="0"/>
          <c:explosion val="26"/>
          <c:dPt>
            <c:idx val="17"/>
            <c:bubble3D val="0"/>
            <c:explosion val="24"/>
          </c:dPt>
          <c:dLbls>
            <c:numFmt formatCode="0.0%" sourceLinked="0"/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, </c:separator>
            <c:showLeaderLines val="1"/>
          </c:dLbls>
          <c:cat>
            <c:strRef>
              <c:f>'кассовое исполнение'!$A$8:$A$31</c:f>
              <c:strCache>
                <c:ptCount val="24"/>
                <c:pt idx="0">
                  <c:v>1. ГП "Развитие здравоохранения в Калужской области"</c:v>
                </c:pt>
                <c:pt idx="1">
                  <c:v>2. ГП "Развитие образования в Калужской области"</c:v>
                </c:pt>
                <c:pt idx="2">
                  <c:v>3. ГП "Доступная среда в Калужской области"</c:v>
                </c:pt>
                <c:pt idx="3">
                  <c:v>4. ГП "Социальная поддержка граждан в Калужской области"</c:v>
                </c:pt>
                <c:pt idx="4">
                  <c:v>5. ГП "Семья и дети в Калужской области"</c:v>
                </c:pt>
                <c:pt idx="5">
                  <c:v>6. ГП "Обеспечение доступным и комфортным  жильем и коммунальными услугами населения Калужской области"  </c:v>
                </c:pt>
                <c:pt idx="6">
                  <c:v>7. ГП "Развитие рынка труда в Калужской области" </c:v>
                </c:pt>
                <c:pt idx="7">
                  <c:v>8. ГП "Оказание содействия добровольному переселению в Калужскую область соотечественников, проживающих за рубежом"  </c:v>
                </c:pt>
                <c:pt idx="8">
                  <c:v>9. ГП "Безопасность жизнедеятельности на территории Калужской области"</c:v>
                </c:pt>
                <c:pt idx="9">
                  <c:v>10. ГП "Развитие культуры в Калужской области"</c:v>
                </c:pt>
                <c:pt idx="10">
                  <c:v>11. ГП "Развитие туризма в Калужской области"</c:v>
                </c:pt>
                <c:pt idx="11">
                  <c:v>12. ГП "Развитие физической культуры и спорта в Калужской области"</c:v>
                </c:pt>
                <c:pt idx="12">
                  <c:v>13. ГП "Молодежь Калужской области"</c:v>
                </c:pt>
                <c:pt idx="13">
                  <c:v>14. ГП "Охрана окружающей среды в Калужской области"</c:v>
                </c:pt>
                <c:pt idx="14">
                  <c:v>15. ГП "Экономическое развитие в Калужской области"</c:v>
                </c:pt>
                <c:pt idx="15">
                  <c:v>16. ГП "Развитие предпринимательства и инноваций в Калужской области"</c:v>
                </c:pt>
                <c:pt idx="16">
                  <c:v>17. ГП "Информационное общество и повышение качества государственных и муниципальных услуг в Калужской области"</c:v>
                </c:pt>
                <c:pt idx="17">
                  <c:v>18. ГП "Развитие дорожного хозяйства Калужской области"</c:v>
                </c:pt>
                <c:pt idx="18">
                  <c:v>19. ГП "Развитие сельского хозяйства и регулирования рынков сельскохозяйственной продукции, сырья и продовольствия в Калужской области"</c:v>
                </c:pt>
                <c:pt idx="19">
                  <c:v>20. ГП "Воспроизводство и использование природных ресурсов в Калужской области"</c:v>
                </c:pt>
                <c:pt idx="20">
                  <c:v>21. ГП "Развитие лесного хозяйства в Калужской области"</c:v>
                </c:pt>
                <c:pt idx="21">
                  <c:v>22. ГП "Энергосбережение и повышение энергоэффективности в Калужской области"</c:v>
                </c:pt>
                <c:pt idx="22">
                  <c:v>23. ГП "Управление имущественным комплексом Калужской области"</c:v>
                </c:pt>
                <c:pt idx="23">
                  <c:v>24. ГП "Укрепление единства российской нации и этнокультурное развитие в Калужской области"</c:v>
                </c:pt>
              </c:strCache>
            </c:strRef>
          </c:cat>
          <c:val>
            <c:numRef>
              <c:f>'кассовое исполнение'!$B$8:$B$31</c:f>
              <c:numCache>
                <c:formatCode>#,##0.000</c:formatCode>
                <c:ptCount val="24"/>
                <c:pt idx="0">
                  <c:v>4339165.9550000001</c:v>
                </c:pt>
                <c:pt idx="1">
                  <c:v>9124505.123999998</c:v>
                </c:pt>
                <c:pt idx="2">
                  <c:v>74978.411000000007</c:v>
                </c:pt>
                <c:pt idx="3">
                  <c:v>5539075.101999999</c:v>
                </c:pt>
                <c:pt idx="4">
                  <c:v>2233832.7350000003</c:v>
                </c:pt>
                <c:pt idx="5">
                  <c:v>2993614.4249999998</c:v>
                </c:pt>
                <c:pt idx="6">
                  <c:v>316515.89299999998</c:v>
                </c:pt>
                <c:pt idx="7">
                  <c:v>21425.78</c:v>
                </c:pt>
                <c:pt idx="8">
                  <c:v>293083.723</c:v>
                </c:pt>
                <c:pt idx="9">
                  <c:v>831671.71500000008</c:v>
                </c:pt>
                <c:pt idx="10">
                  <c:v>37139.225099999996</c:v>
                </c:pt>
                <c:pt idx="11">
                  <c:v>1113099.3740000003</c:v>
                </c:pt>
                <c:pt idx="12">
                  <c:v>37187.491999999998</c:v>
                </c:pt>
                <c:pt idx="13">
                  <c:v>175908.28700000001</c:v>
                </c:pt>
                <c:pt idx="14">
                  <c:v>3462605.844</c:v>
                </c:pt>
                <c:pt idx="15">
                  <c:v>381478.69300000003</c:v>
                </c:pt>
                <c:pt idx="16">
                  <c:v>516785.10000000003</c:v>
                </c:pt>
                <c:pt idx="17">
                  <c:v>4570006.3600000003</c:v>
                </c:pt>
                <c:pt idx="18">
                  <c:v>1585767.2769999998</c:v>
                </c:pt>
                <c:pt idx="19">
                  <c:v>129377.02500000001</c:v>
                </c:pt>
                <c:pt idx="20">
                  <c:v>292826.54200000002</c:v>
                </c:pt>
                <c:pt idx="21">
                  <c:v>293340.87300000002</c:v>
                </c:pt>
                <c:pt idx="22">
                  <c:v>73489.081999999995</c:v>
                </c:pt>
                <c:pt idx="23">
                  <c:v>2051.9639999999999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9.7905171037993115E-3"/>
          <c:y val="0.39192951262066611"/>
          <c:w val="0.99020947257426573"/>
          <c:h val="0.60040270136558438"/>
        </c:manualLayout>
      </c:layout>
      <c:overlay val="0"/>
      <c:spPr>
        <a:ln w="3175"/>
      </c:spPr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Ерохин</dc:creator>
  <cp:keywords/>
  <dc:description/>
  <cp:lastModifiedBy>Евгений Николаевич Ерохин</cp:lastModifiedBy>
  <cp:revision>5</cp:revision>
  <cp:lastPrinted>2016-03-18T08:48:00Z</cp:lastPrinted>
  <dcterms:created xsi:type="dcterms:W3CDTF">2016-03-18T08:31:00Z</dcterms:created>
  <dcterms:modified xsi:type="dcterms:W3CDTF">2016-03-18T08:58:00Z</dcterms:modified>
</cp:coreProperties>
</file>